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1F7920AA" w:rsidR="00835DA4" w:rsidRPr="006E2A24" w:rsidRDefault="00E64EBD" w:rsidP="00835DA4">
            <w:pPr>
              <w:spacing w:line="360" w:lineRule="auto"/>
              <w:jc w:val="center"/>
              <w:rPr>
                <w:rFonts w:asciiTheme="minorHAnsi" w:hAnsiTheme="minorHAnsi" w:cs="Arial"/>
                <w:b/>
                <w:sz w:val="28"/>
                <w:szCs w:val="28"/>
              </w:rPr>
            </w:pPr>
            <w:r>
              <w:rPr>
                <w:rFonts w:asciiTheme="minorHAnsi" w:hAnsiTheme="minorHAnsi" w:cs="Arial"/>
                <w:b/>
                <w:sz w:val="28"/>
                <w:szCs w:val="28"/>
              </w:rPr>
              <w:t>Introduction</w:t>
            </w:r>
          </w:p>
        </w:tc>
      </w:tr>
      <w:tr w:rsidR="00835DA4" w14:paraId="0D13C1B0" w14:textId="77777777" w:rsidTr="00C43634">
        <w:trPr>
          <w:trHeight w:val="595"/>
        </w:trPr>
        <w:tc>
          <w:tcPr>
            <w:tcW w:w="10031" w:type="dxa"/>
          </w:tcPr>
          <w:p w14:paraId="49FEF142" w14:textId="77777777" w:rsidR="005B62D8" w:rsidRDefault="005B62D8" w:rsidP="00E64EBD">
            <w:pPr>
              <w:pStyle w:val="BodyText"/>
              <w:ind w:left="0"/>
              <w:rPr>
                <w:rFonts w:asciiTheme="minorHAnsi" w:hAnsiTheme="minorHAnsi" w:cstheme="minorHAnsi"/>
                <w:b/>
                <w:color w:val="231F20"/>
                <w:sz w:val="24"/>
                <w:szCs w:val="24"/>
              </w:rPr>
            </w:pPr>
          </w:p>
          <w:p w14:paraId="5012889E" w14:textId="430A3061" w:rsidR="005B62D8" w:rsidRPr="005E16CD" w:rsidRDefault="008F5304" w:rsidP="005E16CD">
            <w:pPr>
              <w:spacing w:line="360" w:lineRule="auto"/>
              <w:rPr>
                <w:rFonts w:asciiTheme="minorHAnsi" w:hAnsiTheme="minorHAnsi" w:cstheme="minorHAnsi"/>
                <w:sz w:val="22"/>
                <w:szCs w:val="22"/>
              </w:rPr>
            </w:pPr>
            <w:r w:rsidRPr="005E16CD">
              <w:rPr>
                <w:rFonts w:asciiTheme="minorHAnsi" w:hAnsiTheme="minorHAnsi" w:cstheme="minorHAnsi"/>
                <w:sz w:val="22"/>
                <w:szCs w:val="22"/>
              </w:rPr>
              <w:t xml:space="preserve">At Little Birch Pre-School </w:t>
            </w:r>
            <w:r w:rsidR="0049425B" w:rsidRPr="005E16CD">
              <w:rPr>
                <w:rFonts w:asciiTheme="minorHAnsi" w:hAnsiTheme="minorHAnsi" w:cstheme="minorHAnsi"/>
                <w:sz w:val="22"/>
                <w:szCs w:val="22"/>
              </w:rPr>
              <w:t>It is our intention to make our Pre-school accessible to children and families from all sections of the local community. We aim to ensure that all sections of our community have access to the Pre-school through open, fair and clearly communicated procedures.</w:t>
            </w:r>
          </w:p>
          <w:p w14:paraId="1FCCC0F9" w14:textId="5920881C" w:rsidR="008979CB" w:rsidRPr="00C43634" w:rsidRDefault="008979CB" w:rsidP="008F5304">
            <w:pPr>
              <w:pStyle w:val="BodyText"/>
              <w:tabs>
                <w:tab w:val="left" w:pos="7720"/>
              </w:tabs>
              <w:ind w:left="0"/>
              <w:rPr>
                <w:rFonts w:asciiTheme="minorHAnsi" w:hAnsiTheme="minorHAnsi" w:cstheme="minorHAnsi"/>
                <w:b/>
                <w:sz w:val="24"/>
                <w:szCs w:val="24"/>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AE70FE" w14:paraId="2876B3CA" w14:textId="77777777" w:rsidTr="00AE70FE">
        <w:tc>
          <w:tcPr>
            <w:tcW w:w="10064" w:type="dxa"/>
            <w:shd w:val="clear" w:color="auto" w:fill="auto"/>
          </w:tcPr>
          <w:p w14:paraId="3ABA331C" w14:textId="77777777" w:rsidR="0049425B" w:rsidRDefault="0049425B" w:rsidP="0049425B">
            <w:pPr>
              <w:spacing w:line="360" w:lineRule="auto"/>
              <w:ind w:left="720"/>
              <w:rPr>
                <w:rFonts w:ascii="Arial" w:hAnsi="Arial" w:cs="Arial"/>
                <w:sz w:val="22"/>
                <w:szCs w:val="22"/>
              </w:rPr>
            </w:pPr>
          </w:p>
          <w:p w14:paraId="7D2E356C" w14:textId="327B2EAB"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ensure that the existence of our Pre-school is widely advertised in places accessible to all sections of the community.</w:t>
            </w:r>
          </w:p>
          <w:p w14:paraId="70C46259"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ensure that information about our setting is accessible, using simple plain English, in written and spoken form and, where appropriate, provided in different community languages and in other formats on request.</w:t>
            </w:r>
          </w:p>
          <w:p w14:paraId="38FDE2C0"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arrange our waiting list on a first come first served basis.</w:t>
            </w:r>
          </w:p>
          <w:p w14:paraId="1365BB03"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will try and accommodate children who wish to start with us in January, by booking sessions in with the September allocations, where this is financially viable and spaces allow.</w:t>
            </w:r>
          </w:p>
          <w:p w14:paraId="3CE6B413" w14:textId="48B3152A"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 xml:space="preserve">If the Pre-school is in a situation where we have to turn children away because of a session being held, the parents/carers will have the opportunity to either start paying for the session(s) immediately, or cancelling the sessions.  </w:t>
            </w:r>
          </w:p>
          <w:p w14:paraId="79970667"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Our setting and its practices are welcoming and make it clear that fathers, mothers, other relations and carers are all welcome.</w:t>
            </w:r>
          </w:p>
          <w:p w14:paraId="31DDA4E4" w14:textId="2CFCC5E3"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Our setting and its practices operate in a way that encourages positive regard for and understanding of difference and ability -  whether gender, family structure, class, background, religion, ethnicity or competence in spoken English.</w:t>
            </w:r>
          </w:p>
          <w:p w14:paraId="1F0B81E4"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support children and/or parents with disabilities to take full part in all activities within our setting.</w:t>
            </w:r>
          </w:p>
          <w:p w14:paraId="1782D11C"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We monitor the needs and background of children joining our setting on the Admission Form, to ensure that no accidental or unintentional discrimination is taking place.</w:t>
            </w:r>
          </w:p>
          <w:p w14:paraId="109CEB61"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 xml:space="preserve">We share and widely promote our Valuing Diversity and Promoting Equality Policy. </w:t>
            </w:r>
          </w:p>
          <w:p w14:paraId="6EFE914C" w14:textId="77777777" w:rsidR="0049425B" w:rsidRPr="005E16CD" w:rsidRDefault="0049425B" w:rsidP="0049425B">
            <w:pPr>
              <w:numPr>
                <w:ilvl w:val="0"/>
                <w:numId w:val="23"/>
              </w:numPr>
              <w:spacing w:line="360" w:lineRule="auto"/>
              <w:rPr>
                <w:rFonts w:asciiTheme="minorHAnsi" w:hAnsiTheme="minorHAnsi" w:cstheme="minorHAnsi"/>
                <w:sz w:val="22"/>
                <w:szCs w:val="22"/>
              </w:rPr>
            </w:pPr>
            <w:r w:rsidRPr="005E16CD">
              <w:rPr>
                <w:rFonts w:asciiTheme="minorHAnsi" w:hAnsiTheme="minorHAnsi" w:cstheme="minorHAnsi"/>
                <w:sz w:val="22"/>
                <w:szCs w:val="22"/>
              </w:rPr>
              <w:t>Failure to comply with the terms and conditions (see 10.1) may ultimately result in the provision of a place being withdrawn.</w:t>
            </w:r>
          </w:p>
          <w:p w14:paraId="29C93EB0" w14:textId="161E60BC" w:rsidR="002F0FD5" w:rsidRPr="002F0FD5" w:rsidRDefault="002F0FD5" w:rsidP="00435F30">
            <w:pPr>
              <w:pStyle w:val="ListParagraph"/>
              <w:rPr>
                <w:rFonts w:asciiTheme="minorHAnsi" w:hAnsiTheme="minorHAnsi" w:cstheme="minorHAnsi"/>
              </w:rPr>
            </w:pPr>
          </w:p>
        </w:tc>
      </w:tr>
    </w:tbl>
    <w:p w14:paraId="7E6BBFCD" w14:textId="21BB4D95" w:rsidR="003B461A" w:rsidRDefault="003B461A" w:rsidP="005340FB">
      <w:pPr>
        <w:spacing w:line="360" w:lineRule="auto"/>
        <w:rPr>
          <w:rFonts w:ascii="Arial" w:hAnsi="Arial" w:cs="Arial"/>
          <w:i/>
          <w:sz w:val="22"/>
          <w:szCs w:val="22"/>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88FA" w14:textId="77777777" w:rsidR="004450B5" w:rsidRDefault="004450B5" w:rsidP="006070DE">
      <w:r>
        <w:separator/>
      </w:r>
    </w:p>
  </w:endnote>
  <w:endnote w:type="continuationSeparator" w:id="0">
    <w:p w14:paraId="31FECB3D" w14:textId="77777777" w:rsidR="004450B5" w:rsidRDefault="004450B5"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9061" w14:textId="77777777" w:rsidR="004450B5" w:rsidRDefault="004450B5" w:rsidP="006070DE">
      <w:r>
        <w:separator/>
      </w:r>
    </w:p>
  </w:footnote>
  <w:footnote w:type="continuationSeparator" w:id="0">
    <w:p w14:paraId="0D5980FF" w14:textId="77777777" w:rsidR="004450B5" w:rsidRDefault="004450B5"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63872"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5589E23F" w:rsidR="006070DE" w:rsidRPr="00F46CBE" w:rsidRDefault="00876F4F"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A</w:t>
    </w:r>
    <w:r w:rsidR="0049425B">
      <w:rPr>
        <w:rFonts w:asciiTheme="minorHAnsi" w:hAnsiTheme="minorHAnsi" w:cstheme="minorHAnsi"/>
        <w:b/>
        <w:sz w:val="40"/>
        <w:szCs w:val="40"/>
      </w:rPr>
      <w:t>dmissions</w:t>
    </w:r>
    <w:r w:rsidR="00D02CEF">
      <w:rPr>
        <w:rFonts w:asciiTheme="minorHAnsi" w:hAnsiTheme="minorHAnsi" w:cstheme="minorHAnsi"/>
        <w:b/>
        <w:sz w:val="40"/>
        <w:szCs w:val="40"/>
      </w:rPr>
      <w:t xml:space="preserve"> </w:t>
    </w:r>
    <w:r w:rsidR="00683136">
      <w:rPr>
        <w:rFonts w:asciiTheme="minorHAnsi" w:hAnsiTheme="minorHAnsi" w:cstheme="minorHAnsi"/>
        <w:b/>
        <w:sz w:val="40"/>
        <w:szCs w:val="40"/>
      </w:rPr>
      <w:t>Policy</w:t>
    </w:r>
  </w:p>
  <w:p w14:paraId="2334C478" w14:textId="77777777" w:rsidR="006070DE" w:rsidRDefault="0060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5D"/>
    <w:multiLevelType w:val="hybridMultilevel"/>
    <w:tmpl w:val="41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6"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9" w15:restartNumberingAfterBreak="0">
    <w:nsid w:val="39564AC4"/>
    <w:multiLevelType w:val="hybridMultilevel"/>
    <w:tmpl w:val="ED9C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16"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65899"/>
    <w:multiLevelType w:val="hybridMultilevel"/>
    <w:tmpl w:val="6C80F452"/>
    <w:lvl w:ilvl="0" w:tplc="242CEE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3"/>
  </w:num>
  <w:num w:numId="6">
    <w:abstractNumId w:val="5"/>
  </w:num>
  <w:num w:numId="7">
    <w:abstractNumId w:val="15"/>
  </w:num>
  <w:num w:numId="8">
    <w:abstractNumId w:val="3"/>
  </w:num>
  <w:num w:numId="9">
    <w:abstractNumId w:val="1"/>
  </w:num>
  <w:num w:numId="10">
    <w:abstractNumId w:val="19"/>
  </w:num>
  <w:num w:numId="11">
    <w:abstractNumId w:val="16"/>
  </w:num>
  <w:num w:numId="12">
    <w:abstractNumId w:val="2"/>
  </w:num>
  <w:num w:numId="13">
    <w:abstractNumId w:val="11"/>
  </w:num>
  <w:num w:numId="14">
    <w:abstractNumId w:val="7"/>
  </w:num>
  <w:num w:numId="15">
    <w:abstractNumId w:val="18"/>
  </w:num>
  <w:num w:numId="16">
    <w:abstractNumId w:val="6"/>
  </w:num>
  <w:num w:numId="17">
    <w:abstractNumId w:val="20"/>
  </w:num>
  <w:num w:numId="18">
    <w:abstractNumId w:val="0"/>
  </w:num>
  <w:num w:numId="19">
    <w:abstractNumId w:val="10"/>
  </w:num>
  <w:num w:numId="20">
    <w:abstractNumId w:val="4"/>
  </w:num>
  <w:num w:numId="21">
    <w:abstractNumId w:val="14"/>
  </w:num>
  <w:num w:numId="22">
    <w:abstractNumId w:val="9"/>
  </w:num>
  <w:num w:numId="23">
    <w:abstractNumId w:val="1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F1BE3"/>
    <w:rsid w:val="000F61ED"/>
    <w:rsid w:val="000F7994"/>
    <w:rsid w:val="0010269B"/>
    <w:rsid w:val="00105377"/>
    <w:rsid w:val="0011203D"/>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1F7435"/>
    <w:rsid w:val="002044CF"/>
    <w:rsid w:val="00205D0A"/>
    <w:rsid w:val="002212D0"/>
    <w:rsid w:val="00224FC2"/>
    <w:rsid w:val="00226183"/>
    <w:rsid w:val="0025181F"/>
    <w:rsid w:val="0027164B"/>
    <w:rsid w:val="00275F3A"/>
    <w:rsid w:val="002A1EF2"/>
    <w:rsid w:val="002B3018"/>
    <w:rsid w:val="002B7660"/>
    <w:rsid w:val="002C2BAB"/>
    <w:rsid w:val="002C7FB0"/>
    <w:rsid w:val="002D0C59"/>
    <w:rsid w:val="002D0E17"/>
    <w:rsid w:val="002D67F3"/>
    <w:rsid w:val="002E5C56"/>
    <w:rsid w:val="002E7D8A"/>
    <w:rsid w:val="002F0FD5"/>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862AF"/>
    <w:rsid w:val="00395267"/>
    <w:rsid w:val="003A44C3"/>
    <w:rsid w:val="003B461A"/>
    <w:rsid w:val="003B7897"/>
    <w:rsid w:val="003C0794"/>
    <w:rsid w:val="003C4903"/>
    <w:rsid w:val="003D1F7D"/>
    <w:rsid w:val="003D2264"/>
    <w:rsid w:val="003D43A3"/>
    <w:rsid w:val="003D47F7"/>
    <w:rsid w:val="003F0317"/>
    <w:rsid w:val="003F14AE"/>
    <w:rsid w:val="00412E3A"/>
    <w:rsid w:val="00414D8E"/>
    <w:rsid w:val="0042050B"/>
    <w:rsid w:val="00430D90"/>
    <w:rsid w:val="00435F30"/>
    <w:rsid w:val="0044332B"/>
    <w:rsid w:val="004450B5"/>
    <w:rsid w:val="00475704"/>
    <w:rsid w:val="00482C8F"/>
    <w:rsid w:val="0048713C"/>
    <w:rsid w:val="0049425B"/>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4448A"/>
    <w:rsid w:val="00557848"/>
    <w:rsid w:val="0056474A"/>
    <w:rsid w:val="005678DC"/>
    <w:rsid w:val="00577155"/>
    <w:rsid w:val="00581DCF"/>
    <w:rsid w:val="00582E3F"/>
    <w:rsid w:val="0058738D"/>
    <w:rsid w:val="00594D52"/>
    <w:rsid w:val="005A7CEE"/>
    <w:rsid w:val="005B29CB"/>
    <w:rsid w:val="005B62D8"/>
    <w:rsid w:val="005D3199"/>
    <w:rsid w:val="005D3E1F"/>
    <w:rsid w:val="005E16CD"/>
    <w:rsid w:val="005F28DD"/>
    <w:rsid w:val="006009C3"/>
    <w:rsid w:val="006070DE"/>
    <w:rsid w:val="00620DA7"/>
    <w:rsid w:val="00624CE9"/>
    <w:rsid w:val="006367D6"/>
    <w:rsid w:val="00641D57"/>
    <w:rsid w:val="00667DF6"/>
    <w:rsid w:val="00670181"/>
    <w:rsid w:val="006756B3"/>
    <w:rsid w:val="00683136"/>
    <w:rsid w:val="00684629"/>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473E7"/>
    <w:rsid w:val="00757F4A"/>
    <w:rsid w:val="00761C75"/>
    <w:rsid w:val="00771D46"/>
    <w:rsid w:val="00773D2D"/>
    <w:rsid w:val="007848BB"/>
    <w:rsid w:val="00785B23"/>
    <w:rsid w:val="00787580"/>
    <w:rsid w:val="00793175"/>
    <w:rsid w:val="00793DCB"/>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411B"/>
    <w:rsid w:val="00867391"/>
    <w:rsid w:val="00867BE6"/>
    <w:rsid w:val="00876F4F"/>
    <w:rsid w:val="00880F88"/>
    <w:rsid w:val="00883BC9"/>
    <w:rsid w:val="00884F31"/>
    <w:rsid w:val="00887582"/>
    <w:rsid w:val="00895FFD"/>
    <w:rsid w:val="00896D24"/>
    <w:rsid w:val="008979CB"/>
    <w:rsid w:val="008A7194"/>
    <w:rsid w:val="008B4BB8"/>
    <w:rsid w:val="008B660C"/>
    <w:rsid w:val="008C03A4"/>
    <w:rsid w:val="008C1388"/>
    <w:rsid w:val="008C1761"/>
    <w:rsid w:val="008C2C2B"/>
    <w:rsid w:val="008D584E"/>
    <w:rsid w:val="008E1F78"/>
    <w:rsid w:val="008E523C"/>
    <w:rsid w:val="008E5F51"/>
    <w:rsid w:val="008E7F5A"/>
    <w:rsid w:val="008F4593"/>
    <w:rsid w:val="008F491F"/>
    <w:rsid w:val="008F5304"/>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A0110"/>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3C4B"/>
    <w:rsid w:val="00AD6729"/>
    <w:rsid w:val="00AE3F6C"/>
    <w:rsid w:val="00AE70FE"/>
    <w:rsid w:val="00B0179C"/>
    <w:rsid w:val="00B0474C"/>
    <w:rsid w:val="00B07F8A"/>
    <w:rsid w:val="00B106B3"/>
    <w:rsid w:val="00B13DC7"/>
    <w:rsid w:val="00B1682F"/>
    <w:rsid w:val="00B24A55"/>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5772"/>
    <w:rsid w:val="00DD7140"/>
    <w:rsid w:val="00DE2755"/>
    <w:rsid w:val="00DE37A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67AB"/>
    <w:rsid w:val="00EE6CE0"/>
    <w:rsid w:val="00F0046C"/>
    <w:rsid w:val="00F01A02"/>
    <w:rsid w:val="00F06DBD"/>
    <w:rsid w:val="00F27F72"/>
    <w:rsid w:val="00F309C1"/>
    <w:rsid w:val="00F31AA2"/>
    <w:rsid w:val="00F46CBE"/>
    <w:rsid w:val="00F50B3A"/>
    <w:rsid w:val="00F5167D"/>
    <w:rsid w:val="00F51BBF"/>
    <w:rsid w:val="00F530FC"/>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475335890">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27078986">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0624204">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57197962">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BBE7-8262-4152-BF67-E55C1B6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2020-08-27T13:28:00Z</cp:lastPrinted>
  <dcterms:created xsi:type="dcterms:W3CDTF">2020-08-27T13:30:00Z</dcterms:created>
  <dcterms:modified xsi:type="dcterms:W3CDTF">2020-08-27T13:30:00Z</dcterms:modified>
</cp:coreProperties>
</file>